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D54" w:rsidRPr="00E534CC" w:rsidRDefault="00A06D54" w:rsidP="00A06D54">
      <w:pPr>
        <w:jc w:val="center"/>
        <w:rPr>
          <w:caps/>
          <w:sz w:val="28"/>
          <w:szCs w:val="28"/>
        </w:rPr>
      </w:pPr>
      <w:r w:rsidRPr="00E534CC">
        <w:rPr>
          <w:caps/>
          <w:sz w:val="28"/>
          <w:szCs w:val="28"/>
        </w:rPr>
        <w:t>РАСЧЕТ ПРОДОЛЬНых ДИФФЕРЕНЦИАЛЬНых ЗАЩИТ ТРАНСФОРМАТОРов</w:t>
      </w:r>
    </w:p>
    <w:p w:rsidR="00A06D54" w:rsidRPr="00E534CC" w:rsidRDefault="00A06D54" w:rsidP="00A06D54">
      <w:pPr>
        <w:jc w:val="center"/>
        <w:rPr>
          <w:sz w:val="28"/>
          <w:szCs w:val="28"/>
        </w:rPr>
      </w:pPr>
      <w:r w:rsidRPr="00E534CC">
        <w:rPr>
          <w:sz w:val="28"/>
          <w:szCs w:val="28"/>
        </w:rPr>
        <w:t xml:space="preserve"> </w:t>
      </w:r>
    </w:p>
    <w:p w:rsidR="00A06D54" w:rsidRPr="00E534CC" w:rsidRDefault="00A06D54" w:rsidP="00A06D54">
      <w:pPr>
        <w:ind w:firstLine="720"/>
        <w:jc w:val="both"/>
        <w:rPr>
          <w:sz w:val="28"/>
          <w:szCs w:val="28"/>
        </w:rPr>
      </w:pPr>
      <w:r w:rsidRPr="00E534CC">
        <w:rPr>
          <w:sz w:val="28"/>
          <w:szCs w:val="28"/>
        </w:rPr>
        <w:t>1. Выполнить расчет продольной дифференциальной защиты силового трансформатора на основе реле РНТ-565. Исходные данные приведены в таблице 1.</w:t>
      </w:r>
    </w:p>
    <w:p w:rsidR="00A06D54" w:rsidRPr="00E534CC" w:rsidRDefault="00A06D54" w:rsidP="00A06D54">
      <w:pPr>
        <w:ind w:firstLine="720"/>
        <w:jc w:val="center"/>
        <w:rPr>
          <w:sz w:val="28"/>
          <w:szCs w:val="28"/>
        </w:rPr>
      </w:pPr>
    </w:p>
    <w:p w:rsidR="00A06D54" w:rsidRPr="00E534CC" w:rsidRDefault="00A06D54" w:rsidP="00A06D54">
      <w:pPr>
        <w:rPr>
          <w:sz w:val="28"/>
          <w:szCs w:val="28"/>
        </w:rPr>
      </w:pPr>
      <w:r w:rsidRPr="00E534CC">
        <w:rPr>
          <w:sz w:val="28"/>
          <w:szCs w:val="28"/>
        </w:rPr>
        <w:t>Таблица 1. – Исходные данные</w:t>
      </w:r>
    </w:p>
    <w:tbl>
      <w:tblPr>
        <w:tblStyle w:val="a3"/>
        <w:tblW w:w="8730" w:type="dxa"/>
        <w:tblInd w:w="-432" w:type="dxa"/>
        <w:tblLook w:val="01E0" w:firstRow="1" w:lastRow="1" w:firstColumn="1" w:lastColumn="1" w:noHBand="0" w:noVBand="0"/>
      </w:tblPr>
      <w:tblGrid>
        <w:gridCol w:w="540"/>
        <w:gridCol w:w="1170"/>
        <w:gridCol w:w="1170"/>
        <w:gridCol w:w="1170"/>
        <w:gridCol w:w="1170"/>
        <w:gridCol w:w="1170"/>
        <w:gridCol w:w="1170"/>
        <w:gridCol w:w="1170"/>
      </w:tblGrid>
      <w:tr w:rsidR="00A06D54" w:rsidRPr="00E534CC" w:rsidTr="00904FAA">
        <w:tc>
          <w:tcPr>
            <w:tcW w:w="54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№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E534CC">
              <w:rPr>
                <w:sz w:val="24"/>
                <w:szCs w:val="24"/>
                <w:vertAlign w:val="subscript"/>
              </w:rPr>
              <w:t>кз</w:t>
            </w:r>
            <w:proofErr w:type="spellEnd"/>
            <w:r w:rsidRPr="00E534CC">
              <w:rPr>
                <w:sz w:val="24"/>
                <w:szCs w:val="24"/>
              </w:rPr>
              <w:t>, МВА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Тип</w:t>
            </w:r>
          </w:p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proofErr w:type="spellStart"/>
            <w:r w:rsidRPr="00E534CC">
              <w:rPr>
                <w:sz w:val="24"/>
                <w:szCs w:val="24"/>
              </w:rPr>
              <w:t>тр-ра</w:t>
            </w:r>
            <w:proofErr w:type="spellEnd"/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  <w:lang w:val="en-US"/>
              </w:rPr>
              <w:t>S</w:t>
            </w:r>
            <w:r w:rsidRPr="00E534CC">
              <w:rPr>
                <w:sz w:val="24"/>
                <w:szCs w:val="24"/>
                <w:vertAlign w:val="subscript"/>
              </w:rPr>
              <w:t>ном</w:t>
            </w:r>
            <w:r w:rsidRPr="00E534CC">
              <w:rPr>
                <w:sz w:val="24"/>
                <w:szCs w:val="24"/>
              </w:rPr>
              <w:t xml:space="preserve">, </w:t>
            </w:r>
            <w:proofErr w:type="spellStart"/>
            <w:r w:rsidRPr="00E534CC">
              <w:rPr>
                <w:sz w:val="24"/>
                <w:szCs w:val="24"/>
              </w:rPr>
              <w:t>кВА</w:t>
            </w:r>
            <w:proofErr w:type="spellEnd"/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E534CC">
              <w:rPr>
                <w:sz w:val="24"/>
                <w:szCs w:val="24"/>
                <w:vertAlign w:val="subscript"/>
              </w:rPr>
              <w:t>вн</w:t>
            </w:r>
            <w:proofErr w:type="spellEnd"/>
            <w:r w:rsidRPr="00E534CC">
              <w:rPr>
                <w:sz w:val="24"/>
                <w:szCs w:val="24"/>
              </w:rPr>
              <w:t xml:space="preserve">, </w:t>
            </w:r>
            <w:proofErr w:type="spellStart"/>
            <w:r w:rsidRPr="00E534C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E534CC">
              <w:rPr>
                <w:sz w:val="24"/>
                <w:szCs w:val="24"/>
                <w:vertAlign w:val="subscript"/>
              </w:rPr>
              <w:t>нн</w:t>
            </w:r>
            <w:proofErr w:type="spellEnd"/>
            <w:r w:rsidRPr="00E534CC">
              <w:rPr>
                <w:sz w:val="24"/>
                <w:szCs w:val="24"/>
              </w:rPr>
              <w:t xml:space="preserve">, </w:t>
            </w:r>
            <w:proofErr w:type="spellStart"/>
            <w:r w:rsidRPr="00E534CC">
              <w:rPr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РПН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  <w:lang w:val="en-US"/>
              </w:rPr>
              <w:t>U</w:t>
            </w:r>
            <w:proofErr w:type="spellStart"/>
            <w:r w:rsidRPr="00E534CC">
              <w:rPr>
                <w:sz w:val="24"/>
                <w:szCs w:val="24"/>
                <w:vertAlign w:val="subscript"/>
              </w:rPr>
              <w:t>кз</w:t>
            </w:r>
            <w:proofErr w:type="spellEnd"/>
            <w:r w:rsidRPr="00E534CC">
              <w:rPr>
                <w:sz w:val="24"/>
                <w:szCs w:val="24"/>
                <w:vertAlign w:val="subscript"/>
              </w:rPr>
              <w:t>%</w:t>
            </w:r>
            <w:r w:rsidRPr="00E534CC">
              <w:rPr>
                <w:sz w:val="24"/>
                <w:szCs w:val="24"/>
              </w:rPr>
              <w:t>, %</w:t>
            </w:r>
          </w:p>
        </w:tc>
      </w:tr>
      <w:tr w:rsidR="00A06D54" w:rsidRPr="00E534CC" w:rsidTr="00904FAA">
        <w:tc>
          <w:tcPr>
            <w:tcW w:w="54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E534CC">
              <w:rPr>
                <w:sz w:val="24"/>
                <w:szCs w:val="24"/>
                <w:lang w:val="en-US"/>
              </w:rPr>
              <w:t>500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6300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6х1,75%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5</w:t>
            </w:r>
          </w:p>
        </w:tc>
      </w:tr>
      <w:tr w:rsidR="00A06D54" w:rsidRPr="00E534CC" w:rsidTr="00904FAA">
        <w:tc>
          <w:tcPr>
            <w:tcW w:w="54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E534CC">
              <w:rPr>
                <w:sz w:val="24"/>
                <w:szCs w:val="24"/>
                <w:lang w:val="en-US"/>
              </w:rPr>
              <w:t>800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35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6,3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6х1,25%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7,5</w:t>
            </w:r>
          </w:p>
        </w:tc>
      </w:tr>
      <w:tr w:rsidR="00A06D54" w:rsidRPr="00E534CC" w:rsidTr="00904FAA">
        <w:tc>
          <w:tcPr>
            <w:tcW w:w="54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E534CC">
              <w:rPr>
                <w:sz w:val="24"/>
                <w:szCs w:val="24"/>
                <w:lang w:val="en-US"/>
              </w:rPr>
              <w:t>1000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ТМН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10000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8х1,5%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8</w:t>
            </w:r>
          </w:p>
        </w:tc>
      </w:tr>
      <w:tr w:rsidR="00A06D54" w:rsidRPr="00E534CC" w:rsidTr="00904FAA">
        <w:tc>
          <w:tcPr>
            <w:tcW w:w="54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E534CC">
              <w:rPr>
                <w:sz w:val="24"/>
                <w:szCs w:val="24"/>
                <w:lang w:val="en-US"/>
              </w:rPr>
              <w:t>1200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16000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8х1,25%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</w:t>
            </w:r>
          </w:p>
        </w:tc>
      </w:tr>
      <w:tr w:rsidR="00A06D54" w:rsidRPr="00E534CC" w:rsidTr="00904FAA">
        <w:tc>
          <w:tcPr>
            <w:tcW w:w="54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  <w:lang w:val="en-US"/>
              </w:rPr>
            </w:pPr>
            <w:r w:rsidRPr="00E534CC">
              <w:rPr>
                <w:sz w:val="24"/>
                <w:szCs w:val="24"/>
                <w:lang w:val="en-US"/>
              </w:rPr>
              <w:t>1500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ТДН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16000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110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10,5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9х1,25%</w:t>
            </w:r>
          </w:p>
        </w:tc>
        <w:tc>
          <w:tcPr>
            <w:tcW w:w="1170" w:type="dxa"/>
            <w:vAlign w:val="center"/>
          </w:tcPr>
          <w:p w:rsidR="00A06D54" w:rsidRPr="00E534CC" w:rsidRDefault="00A06D54" w:rsidP="00904FAA">
            <w:pPr>
              <w:jc w:val="center"/>
              <w:rPr>
                <w:sz w:val="24"/>
                <w:szCs w:val="24"/>
              </w:rPr>
            </w:pPr>
            <w:r w:rsidRPr="00E534CC">
              <w:rPr>
                <w:sz w:val="24"/>
                <w:szCs w:val="24"/>
              </w:rPr>
              <w:t>10,5</w:t>
            </w:r>
          </w:p>
        </w:tc>
      </w:tr>
    </w:tbl>
    <w:p w:rsidR="00A06D54" w:rsidRPr="00E534CC" w:rsidRDefault="00A06D54" w:rsidP="00A06D54">
      <w:pPr>
        <w:rPr>
          <w:sz w:val="28"/>
          <w:szCs w:val="28"/>
        </w:rPr>
      </w:pPr>
    </w:p>
    <w:p w:rsidR="00A06D54" w:rsidRPr="00E534CC" w:rsidRDefault="00A06D54" w:rsidP="00A06D54">
      <w:pPr>
        <w:rPr>
          <w:sz w:val="28"/>
          <w:szCs w:val="28"/>
        </w:rPr>
      </w:pPr>
      <w:r w:rsidRPr="00E534CC">
        <w:rPr>
          <w:sz w:val="28"/>
          <w:szCs w:val="28"/>
        </w:rPr>
        <w:t>Вариант по зачетной книжке</w: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 w:rsidRPr="00E534CC">
        <w:rPr>
          <w:sz w:val="28"/>
          <w:szCs w:val="28"/>
        </w:rPr>
        <w:t>2</w:t>
      </w:r>
      <w:r w:rsidRPr="00E534CC">
        <w:rPr>
          <w:sz w:val="28"/>
          <w:szCs w:val="28"/>
        </w:rPr>
        <w:t>. Определить графически по симметричным составляющим токов, представленным ниже на рисунке, вектора фазных токов.</w: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 w:rsidRPr="00E534CC">
        <w:rPr>
          <w:sz w:val="28"/>
          <w:szCs w:val="28"/>
        </w:rPr>
        <w:object w:dxaOrig="1786" w:dyaOrig="25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2pt;height:107.15pt" o:ole="">
            <v:imagedata r:id="rId6" o:title=""/>
          </v:shape>
          <o:OLEObject Type="Embed" ProgID="Visio.Drawing.11" ShapeID="_x0000_i1025" DrawAspect="Content" ObjectID="_1536585701" r:id="rId7"/>
        </w:objec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E534CC">
        <w:rPr>
          <w:sz w:val="28"/>
          <w:szCs w:val="28"/>
        </w:rPr>
        <w:t xml:space="preserve">. Определить величины токов в реле КА1-КА5 для схемы, представленной ниже на рисунке при трехфазном </w:t>
      </w:r>
      <w:proofErr w:type="gramStart"/>
      <w:r w:rsidRPr="00E534CC">
        <w:rPr>
          <w:sz w:val="28"/>
          <w:szCs w:val="28"/>
        </w:rPr>
        <w:t>КЗ</w:t>
      </w:r>
      <w:proofErr w:type="gramEnd"/>
      <w:r w:rsidRPr="00E534CC">
        <w:rPr>
          <w:sz w:val="28"/>
          <w:szCs w:val="28"/>
        </w:rPr>
        <w:t xml:space="preserve"> в точке К, если величина первичного тока КЗ равна 1,5кА.</w: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 w:rsidRPr="00E534CC">
        <w:rPr>
          <w:sz w:val="28"/>
          <w:szCs w:val="28"/>
        </w:rPr>
        <w:object w:dxaOrig="5323" w:dyaOrig="7436">
          <v:shape id="_x0000_i1050" type="#_x0000_t75" style="width:213.5pt;height:298.9pt" o:ole="">
            <v:imagedata r:id="rId8" o:title=""/>
          </v:shape>
          <o:OLEObject Type="Embed" ProgID="Visio.Drawing.11" ShapeID="_x0000_i1050" DrawAspect="Content" ObjectID="_1536585702" r:id="rId9"/>
        </w:objec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E534CC">
        <w:rPr>
          <w:sz w:val="28"/>
          <w:szCs w:val="28"/>
        </w:rPr>
        <w:t>. Для расчета дифференциальной токовой защиты трансформатора типа ТДН-10000-110/10-У-0</w:t>
      </w:r>
      <w:proofErr w:type="gramStart"/>
      <w:r w:rsidRPr="00E534CC">
        <w:rPr>
          <w:sz w:val="28"/>
          <w:szCs w:val="28"/>
        </w:rPr>
        <w:t>/Д</w:t>
      </w:r>
      <w:proofErr w:type="gramEnd"/>
      <w:r w:rsidRPr="00E534CC">
        <w:rPr>
          <w:sz w:val="28"/>
          <w:szCs w:val="28"/>
        </w:rPr>
        <w:t xml:space="preserve"> на реле типа РНТ-565 рассчитать вторичные номинальные токи в плечах защиты. В процессе расчета необходимо выбрать номинальные токи трансформаторов тока 110 и 10кВ.</w: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E534CC">
        <w:rPr>
          <w:sz w:val="28"/>
          <w:szCs w:val="28"/>
        </w:rPr>
        <w:t xml:space="preserve">. Рассчитать </w:t>
      </w:r>
      <w:proofErr w:type="spellStart"/>
      <w:r w:rsidRPr="00E534CC">
        <w:rPr>
          <w:sz w:val="28"/>
          <w:szCs w:val="28"/>
        </w:rPr>
        <w:t>уставку</w:t>
      </w:r>
      <w:proofErr w:type="spellEnd"/>
      <w:r w:rsidRPr="00E534CC">
        <w:rPr>
          <w:sz w:val="28"/>
          <w:szCs w:val="28"/>
        </w:rPr>
        <w:t xml:space="preserve"> измерительных органов сопротивления второй ступени дистанционной защиты воздушной линии Л</w:t>
      </w:r>
      <w:proofErr w:type="gramStart"/>
      <w:r w:rsidRPr="00E534CC">
        <w:rPr>
          <w:sz w:val="28"/>
          <w:szCs w:val="28"/>
        </w:rPr>
        <w:t>1</w:t>
      </w:r>
      <w:proofErr w:type="gramEnd"/>
      <w:r w:rsidRPr="00E534CC">
        <w:rPr>
          <w:sz w:val="28"/>
          <w:szCs w:val="28"/>
        </w:rPr>
        <w:t xml:space="preserve"> для схемы сети, представленной ниже на рисунке, если принять что при коротком замыкании на шинах подстанции «В» ток короткого замыкания по линии Л2, с учетом подпитки от энергосистемы С2 равен 1500А, а ток в месте установки рассматриваемой защиты равен 500А.</w: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 w:rsidRPr="00E534CC">
        <w:rPr>
          <w:sz w:val="28"/>
          <w:szCs w:val="28"/>
        </w:rPr>
        <w:object w:dxaOrig="8237" w:dyaOrig="2752">
          <v:shape id="_x0000_i1027" type="#_x0000_t75" style="width:411.9pt;height:137.3pt" o:ole="">
            <v:imagedata r:id="rId10" o:title=""/>
          </v:shape>
          <o:OLEObject Type="Embed" ProgID="Visio.Drawing.11" ShapeID="_x0000_i1027" DrawAspect="Content" ObjectID="_1536585703" r:id="rId11"/>
        </w:objec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bookmarkStart w:id="0" w:name="_GoBack"/>
      <w:bookmarkEnd w:id="0"/>
      <w:r w:rsidRPr="00E534CC">
        <w:rPr>
          <w:sz w:val="28"/>
          <w:szCs w:val="28"/>
        </w:rPr>
        <w:t xml:space="preserve">. Рассчитать коэффициент схемы для схемы соединения трансформаторов тока и реле, представленный ниже на рисунке при </w:t>
      </w:r>
      <w:r w:rsidRPr="00E534CC">
        <w:rPr>
          <w:sz w:val="28"/>
          <w:szCs w:val="28"/>
        </w:rPr>
        <w:lastRenderedPageBreak/>
        <w:t xml:space="preserve">однофазном </w:t>
      </w:r>
      <w:proofErr w:type="gramStart"/>
      <w:r w:rsidRPr="00E534CC">
        <w:rPr>
          <w:sz w:val="28"/>
          <w:szCs w:val="28"/>
        </w:rPr>
        <w:t>КЗ</w:t>
      </w:r>
      <w:proofErr w:type="gramEnd"/>
      <w:r w:rsidRPr="00E534CC">
        <w:rPr>
          <w:sz w:val="28"/>
          <w:szCs w:val="28"/>
        </w:rPr>
        <w:t xml:space="preserve"> фазы «А», двухфазном КЗ фаз «А-В», двухфазном КЗ фаз «А-С», а также трехфазном КЗ.</w:t>
      </w: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</w:p>
    <w:p w:rsidR="00E534CC" w:rsidRPr="00E534CC" w:rsidRDefault="00E534CC" w:rsidP="00E534CC">
      <w:pPr>
        <w:ind w:firstLine="720"/>
        <w:jc w:val="both"/>
        <w:rPr>
          <w:sz w:val="28"/>
          <w:szCs w:val="28"/>
        </w:rPr>
      </w:pPr>
      <w:r w:rsidRPr="00E534CC">
        <w:rPr>
          <w:sz w:val="28"/>
          <w:szCs w:val="28"/>
        </w:rPr>
        <w:object w:dxaOrig="2799" w:dyaOrig="3174">
          <v:shape id="_x0000_i1028" type="#_x0000_t75" style="width:139.8pt;height:159.05pt" o:ole="">
            <v:imagedata r:id="rId12" o:title=""/>
          </v:shape>
          <o:OLEObject Type="Embed" ProgID="Visio.Drawing.11" ShapeID="_x0000_i1028" DrawAspect="Content" ObjectID="_1536585704" r:id="rId13"/>
        </w:object>
      </w:r>
    </w:p>
    <w:p w:rsidR="00E534CC" w:rsidRPr="00E534CC" w:rsidRDefault="00E534CC" w:rsidP="00A06D54">
      <w:pPr>
        <w:rPr>
          <w:sz w:val="28"/>
          <w:szCs w:val="28"/>
        </w:rPr>
      </w:pPr>
    </w:p>
    <w:sectPr w:rsidR="00E534CC" w:rsidRPr="00E53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7CB"/>
    <w:rsid w:val="003227CB"/>
    <w:rsid w:val="00A06D54"/>
    <w:rsid w:val="00A7117C"/>
    <w:rsid w:val="00E5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5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06D5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5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06D5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54F96-63CF-4AB3-BF12-B333A2B71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Отчегарова</dc:creator>
  <cp:keywords/>
  <dc:description/>
  <cp:lastModifiedBy>Роза Отчегарова</cp:lastModifiedBy>
  <cp:revision>3</cp:revision>
  <dcterms:created xsi:type="dcterms:W3CDTF">2016-09-28T10:32:00Z</dcterms:created>
  <dcterms:modified xsi:type="dcterms:W3CDTF">2016-09-28T10:35:00Z</dcterms:modified>
</cp:coreProperties>
</file>